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194" w14:textId="77777777" w:rsidR="00BA0B1B" w:rsidRPr="00FF5663" w:rsidRDefault="00BA0B1B" w:rsidP="00B02CF8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b/>
          <w:sz w:val="24"/>
          <w:szCs w:val="24"/>
          <w:lang w:val="en-US"/>
        </w:rPr>
        <w:t>Guidelines for Special Issues</w:t>
      </w:r>
    </w:p>
    <w:p w14:paraId="0C971E27" w14:textId="39E00FD9" w:rsidR="003270D7" w:rsidRPr="00FF5663" w:rsidRDefault="00BA0B1B" w:rsidP="00B02CF8">
      <w:pPr>
        <w:tabs>
          <w:tab w:val="left" w:pos="426"/>
        </w:tabs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Special Issue articles should fulfil all the normal requirements of any individual article and should be of relevance to 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scope of </w:t>
      </w:r>
      <w:r w:rsidR="003270D7" w:rsidRPr="00FF5663">
        <w:rPr>
          <w:rFonts w:ascii="Times New Roman" w:hAnsi="Times New Roman" w:cs="Times New Roman"/>
          <w:i/>
          <w:sz w:val="24"/>
          <w:szCs w:val="24"/>
          <w:lang w:val="en-US"/>
        </w:rPr>
        <w:t>Polish Polar Research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he same criteria of quality, originality, and significance apply to articles in Special Issues as to regular articles. Special Issue articles 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should be original and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must not consist of overviews of the authors' previously published work. </w:t>
      </w:r>
    </w:p>
    <w:p w14:paraId="0941E23E" w14:textId="77777777" w:rsidR="00BA0B1B" w:rsidRPr="00FF5663" w:rsidRDefault="003270D7" w:rsidP="00B02CF8">
      <w:pPr>
        <w:spacing w:after="14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u w:val="single"/>
          <w:lang w:val="en-US"/>
        </w:rPr>
        <w:t>Processing and m</w:t>
      </w:r>
      <w:r w:rsidR="00BA0B1B" w:rsidRPr="00FF5663">
        <w:rPr>
          <w:rFonts w:ascii="Times New Roman" w:hAnsi="Times New Roman" w:cs="Times New Roman"/>
          <w:sz w:val="24"/>
          <w:szCs w:val="24"/>
          <w:u w:val="single"/>
          <w:lang w:val="en-US"/>
        </w:rPr>
        <w:t>anagement</w:t>
      </w:r>
      <w:r w:rsidRPr="00FF56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procedures for Special Issues are as follows:</w:t>
      </w:r>
      <w:r w:rsidR="00BA0B1B" w:rsidRPr="00FF56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3EA58EE7" w14:textId="67F28879" w:rsidR="00BA0B1B" w:rsidRPr="00FF5663" w:rsidRDefault="00BA0B1B" w:rsidP="00B02CF8">
      <w:p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1. Initial proposal</w:t>
      </w:r>
    </w:p>
    <w:p w14:paraId="7068043D" w14:textId="74AB782D" w:rsidR="00BA0B1B" w:rsidRPr="00FF5663" w:rsidRDefault="00B33D0B" w:rsidP="00B02CF8">
      <w:pPr>
        <w:spacing w:after="14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Special Issue must receive initial approval from the Editorial Board before the papers are submitted. For the first step,</w:t>
      </w:r>
      <w:r w:rsidR="0073730E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write an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="00F9405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B4F25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the Editor</w:t>
      </w:r>
      <w:r w:rsidR="009B4F25" w:rsidRPr="00FF56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-in-Chief with </w:t>
      </w:r>
      <w:r w:rsidR="006E52A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information on </w:t>
      </w:r>
      <w:r w:rsidR="006E52A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topic </w:t>
      </w:r>
      <w:r w:rsidR="00960881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>proposed Special Issue</w:t>
      </w:r>
      <w:r w:rsidR="00C7748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449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briefly outline 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prospective </w:t>
      </w:r>
      <w:r w:rsidR="006B4449" w:rsidRPr="00FF5663">
        <w:rPr>
          <w:rFonts w:ascii="Times New Roman" w:hAnsi="Times New Roman" w:cs="Times New Roman"/>
          <w:sz w:val="24"/>
          <w:szCs w:val="24"/>
          <w:lang w:val="en-US"/>
        </w:rPr>
        <w:t>Guest E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>ditors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. If the Editor-in-Chief replies positively, submit a more detailed </w:t>
      </w:r>
      <w:r w:rsidR="006B4449" w:rsidRPr="00FF56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roposal. </w:t>
      </w:r>
      <w:r w:rsidR="000E428F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47D4" w:rsidRPr="00FF56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roposal should be e</w:t>
      </w:r>
      <w:r w:rsidR="003270D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-mailed to the Editor-in-Chief,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using the following format:</w:t>
      </w:r>
    </w:p>
    <w:p w14:paraId="61778D92" w14:textId="77777777" w:rsidR="00BA0B1B" w:rsidRPr="00FF5663" w:rsidRDefault="006B4449" w:rsidP="00B02CF8">
      <w:pPr>
        <w:pStyle w:val="Akapitzlist"/>
        <w:numPr>
          <w:ilvl w:val="0"/>
          <w:numId w:val="1"/>
        </w:numPr>
        <w:spacing w:after="14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The title of the Special Issue.</w:t>
      </w:r>
    </w:p>
    <w:p w14:paraId="427F0C28" w14:textId="77777777" w:rsidR="006B4449" w:rsidRPr="00FF5663" w:rsidRDefault="006B4449" w:rsidP="00B02CF8">
      <w:pPr>
        <w:pStyle w:val="Akapitzlist"/>
        <w:numPr>
          <w:ilvl w:val="0"/>
          <w:numId w:val="1"/>
        </w:numPr>
        <w:spacing w:after="14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The scope of the Special Issue.</w:t>
      </w:r>
    </w:p>
    <w:p w14:paraId="1F022683" w14:textId="77777777" w:rsidR="00BA0B1B" w:rsidRPr="00FF5663" w:rsidRDefault="00BA0B1B" w:rsidP="00B02CF8">
      <w:pPr>
        <w:pStyle w:val="Akapitzlist"/>
        <w:numPr>
          <w:ilvl w:val="0"/>
          <w:numId w:val="1"/>
        </w:numPr>
        <w:spacing w:after="14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A brief CV of the proposed Guest Editors.</w:t>
      </w:r>
    </w:p>
    <w:p w14:paraId="308C2A1C" w14:textId="77777777" w:rsidR="00BA0B1B" w:rsidRPr="00FF5663" w:rsidRDefault="006B4449" w:rsidP="00B02CF8">
      <w:pPr>
        <w:pStyle w:val="Akapitzlist"/>
        <w:numPr>
          <w:ilvl w:val="0"/>
          <w:numId w:val="1"/>
        </w:numPr>
        <w:spacing w:after="14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A draft of the Call for Papers.</w:t>
      </w:r>
    </w:p>
    <w:p w14:paraId="0C3848B2" w14:textId="77777777" w:rsidR="00BA0B1B" w:rsidRPr="00FF5663" w:rsidRDefault="006B4449" w:rsidP="00B02CF8">
      <w:pPr>
        <w:pStyle w:val="Akapitzlist"/>
        <w:numPr>
          <w:ilvl w:val="0"/>
          <w:numId w:val="1"/>
        </w:numPr>
        <w:spacing w:after="14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timetable.</w:t>
      </w:r>
    </w:p>
    <w:p w14:paraId="664983F1" w14:textId="77777777" w:rsidR="00BA0B1B" w:rsidRPr="00FF5663" w:rsidRDefault="006B4449" w:rsidP="00B02CF8">
      <w:pPr>
        <w:spacing w:after="14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Editorial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ll consider whether the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proposal is of interest to the journal and the proposed Guest Editors will be informed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if they will be granted agreement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to proceed. </w:t>
      </w:r>
    </w:p>
    <w:p w14:paraId="1687DB44" w14:textId="5E6A6B10" w:rsidR="00BA0B1B" w:rsidRPr="00FF5663" w:rsidRDefault="00BA0B1B" w:rsidP="00B02CF8">
      <w:p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2. The review and editorial procedure</w:t>
      </w:r>
    </w:p>
    <w:p w14:paraId="74F378F2" w14:textId="712E56B2" w:rsidR="00BA0B1B" w:rsidRPr="00FF5663" w:rsidRDefault="008E4210" w:rsidP="00B02CF8">
      <w:pPr>
        <w:spacing w:after="14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After submission of manuscripts,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Guest Editors will access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if they are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the Special Issue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. If so</w:t>
      </w:r>
      <w:r w:rsidR="00840565" w:rsidRPr="00FF56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the manuscripts will be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sent out for peer review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following standard editorial procedures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. If a paper does not meet the criteria required for the Special Issue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Guest Editors may reject papers without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them sent for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review. The Editor-in-Chief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available to assist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Guess Editors in case of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any doubt about a course of action to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5F2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Guest Editors are expected to oversee the peer review process for the Special Issue but final acceptance approval for each paper will be given by the Editor-in-Chief.</w:t>
      </w:r>
    </w:p>
    <w:p w14:paraId="47D40A8E" w14:textId="77777777" w:rsidR="00BA0B1B" w:rsidRPr="00FF5663" w:rsidRDefault="00BA0B1B" w:rsidP="00B02CF8">
      <w:pPr>
        <w:spacing w:after="14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u w:val="single"/>
          <w:lang w:val="en-US"/>
        </w:rPr>
        <w:t>For all Special Issues, please note that:</w:t>
      </w:r>
    </w:p>
    <w:p w14:paraId="6FF34AFF" w14:textId="77777777" w:rsidR="00D03A9F" w:rsidRPr="00FF5663" w:rsidRDefault="00D03A9F" w:rsidP="00B02CF8">
      <w:pPr>
        <w:pStyle w:val="Akapitzlist"/>
        <w:numPr>
          <w:ilvl w:val="0"/>
          <w:numId w:val="1"/>
        </w:num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Guest Editors will be granted an access and guidance to the online submission and reviewing system used by </w:t>
      </w:r>
      <w:r w:rsidRPr="00FF5663">
        <w:rPr>
          <w:rFonts w:ascii="Times New Roman" w:hAnsi="Times New Roman" w:cs="Times New Roman"/>
          <w:i/>
          <w:sz w:val="24"/>
          <w:szCs w:val="24"/>
          <w:lang w:val="en-US"/>
        </w:rPr>
        <w:t>Polish Polar Research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editorial team.</w:t>
      </w:r>
    </w:p>
    <w:p w14:paraId="6391182A" w14:textId="77777777" w:rsidR="00BA0B1B" w:rsidRPr="00FF5663" w:rsidRDefault="00BA0B1B" w:rsidP="00B02CF8">
      <w:pPr>
        <w:pStyle w:val="Akapitzlist"/>
        <w:numPr>
          <w:ilvl w:val="0"/>
          <w:numId w:val="1"/>
        </w:num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Editor-in-Chief may wish to take a first look at all papers submitted to a Special Issue and 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reject papers without review on the basis of 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or ask for further revisions to be made prior to 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58E317" w14:textId="19DF4E4F" w:rsidR="00BA0B1B" w:rsidRPr="00FF5663" w:rsidRDefault="00077182" w:rsidP="00B02CF8">
      <w:pPr>
        <w:pStyle w:val="Akapitzlist"/>
        <w:numPr>
          <w:ilvl w:val="0"/>
          <w:numId w:val="1"/>
        </w:num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peer review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of each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is carried out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by the Guest Editors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same manner as in the case of regular </w:t>
      </w:r>
      <w:r w:rsidR="00F239EF" w:rsidRPr="00FF5663">
        <w:rPr>
          <w:rFonts w:ascii="Times New Roman" w:hAnsi="Times New Roman" w:cs="Times New Roman"/>
          <w:sz w:val="24"/>
          <w:szCs w:val="24"/>
          <w:lang w:val="en-US"/>
        </w:rPr>
        <w:t>submissions,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but final acceptance will be given by the Editor-in-Chief.</w:t>
      </w:r>
    </w:p>
    <w:p w14:paraId="7D0CCF68" w14:textId="781DA6BF" w:rsidR="00BA0B1B" w:rsidRPr="00FF5663" w:rsidRDefault="00BA0B1B" w:rsidP="00B02CF8">
      <w:pPr>
        <w:pStyle w:val="Akapitzlist"/>
        <w:numPr>
          <w:ilvl w:val="0"/>
          <w:numId w:val="1"/>
        </w:numPr>
        <w:spacing w:after="14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As articles start to be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F35" w:rsidRPr="00FF5663">
        <w:rPr>
          <w:rFonts w:ascii="Times New Roman" w:hAnsi="Times New Roman" w:cs="Times New Roman"/>
          <w:sz w:val="24"/>
          <w:szCs w:val="24"/>
          <w:lang w:val="en-US"/>
        </w:rPr>
        <w:t>accepted,</w:t>
      </w:r>
      <w:r w:rsidR="007A0E95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they will become available at journal website as Early Access articles. T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he Guest Editors will prepar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an introductory article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>, which should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be submitted no later than </w:t>
      </w:r>
      <w:r w:rsidR="00D26F35" w:rsidRPr="00FF5663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weeks after the acceptance of the last article in the </w:t>
      </w:r>
      <w:r w:rsidR="00077182" w:rsidRPr="00FF5663">
        <w:rPr>
          <w:rFonts w:ascii="Times New Roman" w:hAnsi="Times New Roman" w:cs="Times New Roman"/>
          <w:sz w:val="24"/>
          <w:szCs w:val="24"/>
          <w:lang w:val="en-US"/>
        </w:rPr>
        <w:t>Special I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ssue.</w:t>
      </w:r>
    </w:p>
    <w:p w14:paraId="6F7DB1C1" w14:textId="77777777" w:rsidR="00220917" w:rsidRPr="00FF5663" w:rsidRDefault="00220917" w:rsidP="00B02CF8">
      <w:pPr>
        <w:pStyle w:val="Akapitzlist"/>
        <w:numPr>
          <w:ilvl w:val="0"/>
          <w:numId w:val="1"/>
        </w:numPr>
        <w:spacing w:after="14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Authors should work to clear deadlines agreed between the Guest Editors and Editor-in-Chief, and be made aware that if they miss these deadlines their papers may be excluded from the Special Issue not to disadvantage other authors.</w:t>
      </w:r>
    </w:p>
    <w:p w14:paraId="44192562" w14:textId="77777777" w:rsidR="00220917" w:rsidRPr="00FF5663" w:rsidRDefault="00220917" w:rsidP="00B02CF8">
      <w:pPr>
        <w:pStyle w:val="Akapitzlist"/>
        <w:numPr>
          <w:ilvl w:val="0"/>
          <w:numId w:val="1"/>
        </w:numPr>
        <w:spacing w:after="14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lastRenderedPageBreak/>
        <w:t>A full Special Issue should comprise of at least four papers plus the introductory article. If fewer papers than anticipated are accepted, a grouped publication of articles may be proposed without an introduction.</w:t>
      </w:r>
    </w:p>
    <w:p w14:paraId="69C838E0" w14:textId="2DB3DB58" w:rsidR="00B10019" w:rsidRPr="00FF5663" w:rsidRDefault="00D03A9F" w:rsidP="00B02CF8">
      <w:pPr>
        <w:pStyle w:val="Akapitzlist"/>
        <w:numPr>
          <w:ilvl w:val="0"/>
          <w:numId w:val="1"/>
        </w:numPr>
        <w:spacing w:after="1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5663">
        <w:rPr>
          <w:rFonts w:ascii="Times New Roman" w:hAnsi="Times New Roman" w:cs="Times New Roman"/>
          <w:sz w:val="24"/>
          <w:szCs w:val="24"/>
          <w:lang w:val="en-US"/>
        </w:rPr>
        <w:t>The Editor-in-Chief and Guest Editors will liaise with each to work out any issues that arise throughout the editorial process. However, t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he Editor-in-Chief </w:t>
      </w:r>
      <w:r w:rsidRPr="00FF5663">
        <w:rPr>
          <w:rFonts w:ascii="Times New Roman" w:hAnsi="Times New Roman" w:cs="Times New Roman"/>
          <w:sz w:val="24"/>
          <w:szCs w:val="24"/>
          <w:lang w:val="en-US"/>
        </w:rPr>
        <w:t>is to finally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91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resolve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any disagreements that </w:t>
      </w:r>
      <w:r w:rsidR="00220917" w:rsidRPr="00FF566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A0B1B" w:rsidRPr="00FF5663">
        <w:rPr>
          <w:rFonts w:ascii="Times New Roman" w:hAnsi="Times New Roman" w:cs="Times New Roman"/>
          <w:sz w:val="24"/>
          <w:szCs w:val="24"/>
          <w:lang w:val="en-US"/>
        </w:rPr>
        <w:t>arise during the editorial process.</w:t>
      </w:r>
    </w:p>
    <w:sectPr w:rsidR="00B10019" w:rsidRPr="00FF5663" w:rsidSect="00EE5A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075D"/>
    <w:multiLevelType w:val="hybridMultilevel"/>
    <w:tmpl w:val="1C18411E"/>
    <w:lvl w:ilvl="0" w:tplc="3CA87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B"/>
    <w:rsid w:val="00071A3E"/>
    <w:rsid w:val="00077182"/>
    <w:rsid w:val="000B5072"/>
    <w:rsid w:val="000E428F"/>
    <w:rsid w:val="0015043A"/>
    <w:rsid w:val="001772AD"/>
    <w:rsid w:val="00220917"/>
    <w:rsid w:val="002209A4"/>
    <w:rsid w:val="003270D7"/>
    <w:rsid w:val="004605C8"/>
    <w:rsid w:val="00555746"/>
    <w:rsid w:val="00565E7A"/>
    <w:rsid w:val="00592D33"/>
    <w:rsid w:val="00633961"/>
    <w:rsid w:val="00674009"/>
    <w:rsid w:val="006B4449"/>
    <w:rsid w:val="006E52AB"/>
    <w:rsid w:val="0073730E"/>
    <w:rsid w:val="007527CC"/>
    <w:rsid w:val="0077356F"/>
    <w:rsid w:val="00787611"/>
    <w:rsid w:val="007A0E95"/>
    <w:rsid w:val="007F5F27"/>
    <w:rsid w:val="00840565"/>
    <w:rsid w:val="008E4210"/>
    <w:rsid w:val="00911160"/>
    <w:rsid w:val="00960881"/>
    <w:rsid w:val="009B4F25"/>
    <w:rsid w:val="00AE47D4"/>
    <w:rsid w:val="00B02CF8"/>
    <w:rsid w:val="00B10019"/>
    <w:rsid w:val="00B33D0B"/>
    <w:rsid w:val="00BA0B1B"/>
    <w:rsid w:val="00BB11B7"/>
    <w:rsid w:val="00C22657"/>
    <w:rsid w:val="00C7748B"/>
    <w:rsid w:val="00D03A9F"/>
    <w:rsid w:val="00D26F35"/>
    <w:rsid w:val="00D31D89"/>
    <w:rsid w:val="00E95778"/>
    <w:rsid w:val="00EB5D22"/>
    <w:rsid w:val="00EE5A72"/>
    <w:rsid w:val="00F10D85"/>
    <w:rsid w:val="00F239EF"/>
    <w:rsid w:val="00F577F1"/>
    <w:rsid w:val="00F9405B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891"/>
  <w15:chartTrackingRefBased/>
  <w15:docId w15:val="{93948848-666E-4603-950A-7D1A459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3084</Characters>
  <Application>Microsoft Office Word</Application>
  <DocSecurity>0</DocSecurity>
  <Lines>154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Majewski</dc:creator>
  <cp:keywords/>
  <dc:description/>
  <cp:lastModifiedBy>Małecka-Krawczyk Monika</cp:lastModifiedBy>
  <cp:revision>2</cp:revision>
  <dcterms:created xsi:type="dcterms:W3CDTF">2022-03-21T14:12:00Z</dcterms:created>
  <dcterms:modified xsi:type="dcterms:W3CDTF">2022-03-21T14:12:00Z</dcterms:modified>
</cp:coreProperties>
</file>