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34A4" w14:textId="77777777" w:rsidR="003E0C51" w:rsidRDefault="003E0C51" w:rsidP="003E0C51">
      <w:pPr>
        <w:pStyle w:val="pa0"/>
      </w:pPr>
      <w:r>
        <w:t xml:space="preserve">1. W „Meandrze” zamieszczane są wyłącznie oryginalne, niepublikowane artykuły, tłumaczenia, utwory literackie, recenzje i wspomnienia. Prosimy o nadsyłanie tekstów na adres redakcji w postaci </w:t>
      </w:r>
      <w:proofErr w:type="gramStart"/>
      <w:r>
        <w:t>elektronicznej,</w:t>
      </w:r>
      <w:proofErr w:type="gramEnd"/>
      <w:r>
        <w:t xml:space="preserve"> jako załącznik do wiadomości e-mail. Przyjmiemy jednak materiały w każdej formie. W przypadku greki sugerujemy użycie czcionki </w:t>
      </w:r>
      <w:proofErr w:type="spellStart"/>
      <w:r>
        <w:t>Unicode</w:t>
      </w:r>
      <w:proofErr w:type="spellEnd"/>
      <w:r>
        <w:t xml:space="preserve">. Redakcja nie zwraca nadsyłanych materiałów. Wszystkie prace naukowe zamieszczane w „Meandrze” podlegają recenzji zewnętrznej, wszystkie materiały są publikowane po gruntownym opracowaniu redakcyjnym. Proces recenzji jest opisany szczegółowo na stronie </w:t>
      </w:r>
      <w:hyperlink r:id="rId4" w:history="1">
        <w:r>
          <w:rPr>
            <w:rStyle w:val="Hipercze"/>
          </w:rPr>
          <w:t>https://journals.pan.pl/meander/</w:t>
        </w:r>
      </w:hyperlink>
      <w:r>
        <w:t xml:space="preserve">. Autor otrzymuje egzemplarz autorski „Meandra” i wersję elektroniczną swojej publikacji (plik pdf). Przypominamy o konieczności podania adresu do korespondencji z autorem (sugerujemy adres e-mail). </w:t>
      </w:r>
    </w:p>
    <w:p w14:paraId="5373232F" w14:textId="0A421039" w:rsidR="003E0C51" w:rsidRDefault="003E0C51" w:rsidP="003E0C51">
      <w:pPr>
        <w:pStyle w:val="pa0"/>
      </w:pPr>
      <w:r>
        <w:t xml:space="preserve">2. </w:t>
      </w:r>
      <w:r>
        <w:t xml:space="preserve">Tekst główny powinien być pisany czcionką Times New Roman, wielkość 12 pkt z interlinią 1,5. </w:t>
      </w:r>
      <w:r>
        <w:t xml:space="preserve">Cytaty z opracowań powinny być zawarte w cudzysłowie, słowa obcojęzyczne i cytaty łacińskie wewnątrz tekstu zaznacza się kursywą, greckie nie wymagają dodatkowego wyróżnienia. Obszerniejsze cytaty (łacińskie, greckie i tłumaczenia) należy umieścić w osobnym akapicie, zapisanym mniejszą czcionką (bez cudzysłowu). Przypisy powinny znajdować się pod głównym tekstem. W głównym tekście należy unikać skrótów i cyfr. </w:t>
      </w:r>
      <w:r>
        <w:t>Prosimy o dołączenie</w:t>
      </w:r>
      <w:r w:rsidR="00CC3AF9">
        <w:t xml:space="preserve"> zwięzłych</w:t>
      </w:r>
      <w:r>
        <w:t xml:space="preserve"> </w:t>
      </w:r>
      <w:r>
        <w:t>streszczeń</w:t>
      </w:r>
      <w:r>
        <w:t xml:space="preserve"> i słów kluczowych</w:t>
      </w:r>
      <w:r>
        <w:t xml:space="preserve"> po polsku</w:t>
      </w:r>
      <w:r>
        <w:t xml:space="preserve"> oraz </w:t>
      </w:r>
      <w:r>
        <w:t>angielsku</w:t>
      </w:r>
      <w:r>
        <w:t>. Dołączenie streszczenia po łacinie</w:t>
      </w:r>
      <w:r>
        <w:t xml:space="preserve"> mile widziane. </w:t>
      </w:r>
    </w:p>
    <w:p w14:paraId="0319B757" w14:textId="77777777" w:rsidR="003E0C51" w:rsidRDefault="003E0C51" w:rsidP="003E0C51">
      <w:pPr>
        <w:pStyle w:val="pa0"/>
      </w:pPr>
      <w:r>
        <w:t xml:space="preserve">3. Adresy bibliograficzne powinny być zawarte w przypisach w następującej formie: </w:t>
      </w:r>
    </w:p>
    <w:p w14:paraId="0C9B425A" w14:textId="77777777" w:rsidR="003E0C51" w:rsidRDefault="003E0C51" w:rsidP="003E0C51">
      <w:pPr>
        <w:pStyle w:val="pa0"/>
      </w:pPr>
      <w:r>
        <w:t xml:space="preserve">Th. A. Schmitz, </w:t>
      </w:r>
      <w:proofErr w:type="spellStart"/>
      <w:r>
        <w:rPr>
          <w:i/>
          <w:iCs/>
        </w:rPr>
        <w:t>Moderne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Literaturtheorie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antike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Texte</w:t>
      </w:r>
      <w:proofErr w:type="spellEnd"/>
      <w:r>
        <w:t xml:space="preserve">. </w:t>
      </w:r>
      <w:proofErr w:type="spellStart"/>
      <w:r>
        <w:rPr>
          <w:i/>
          <w:iCs/>
        </w:rPr>
        <w:t>Eine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Einführung</w:t>
      </w:r>
      <w:proofErr w:type="spellEnd"/>
      <w:r>
        <w:t xml:space="preserve">,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Buchgesellschaft</w:t>
      </w:r>
      <w:proofErr w:type="spellEnd"/>
      <w:r>
        <w:t xml:space="preserve">, Darmstadt 2002, s. 126–154. </w:t>
      </w:r>
    </w:p>
    <w:p w14:paraId="3B4D1D96" w14:textId="77777777" w:rsidR="003E0C51" w:rsidRDefault="003E0C51" w:rsidP="003E0C51">
      <w:pPr>
        <w:pStyle w:val="pa0"/>
      </w:pPr>
      <w:r>
        <w:t xml:space="preserve">M. </w:t>
      </w:r>
      <w:proofErr w:type="spellStart"/>
      <w:r>
        <w:t>Cary</w:t>
      </w:r>
      <w:proofErr w:type="spellEnd"/>
      <w:r>
        <w:t xml:space="preserve">, H. H. </w:t>
      </w:r>
      <w:proofErr w:type="spellStart"/>
      <w:r>
        <w:t>Scullard</w:t>
      </w:r>
      <w:proofErr w:type="spellEnd"/>
      <w:r>
        <w:t xml:space="preserve">, </w:t>
      </w:r>
      <w:r>
        <w:rPr>
          <w:i/>
          <w:iCs/>
        </w:rPr>
        <w:t>Dzieje Rzymu. Od czasów najdawniejszych do Konstantyna</w:t>
      </w:r>
      <w:r>
        <w:t xml:space="preserve">, przeł. J. </w:t>
      </w:r>
      <w:proofErr w:type="spellStart"/>
      <w:r>
        <w:t>Schwakopf</w:t>
      </w:r>
      <w:proofErr w:type="spellEnd"/>
      <w:r>
        <w:t xml:space="preserve">, t. II, Państwowy Instytut Wydawniczy, Warszawa 1992, s. 424–440. </w:t>
      </w:r>
    </w:p>
    <w:p w14:paraId="1874D861" w14:textId="77777777" w:rsidR="003E0C51" w:rsidRDefault="003E0C51" w:rsidP="003E0C51">
      <w:pPr>
        <w:pStyle w:val="pa0"/>
      </w:pPr>
      <w:r>
        <w:t xml:space="preserve">K. </w:t>
      </w:r>
      <w:proofErr w:type="spellStart"/>
      <w:r>
        <w:t>Kumaniecki</w:t>
      </w:r>
      <w:proofErr w:type="spellEnd"/>
      <w:r>
        <w:t xml:space="preserve">, </w:t>
      </w:r>
      <w:r>
        <w:rPr>
          <w:i/>
          <w:iCs/>
        </w:rPr>
        <w:t>Nad prozą antyczną,</w:t>
      </w:r>
      <w:r>
        <w:t xml:space="preserve"> [w:] </w:t>
      </w:r>
      <w:r>
        <w:rPr>
          <w:i/>
          <w:iCs/>
        </w:rPr>
        <w:t>O sztuce tłumaczenia</w:t>
      </w:r>
      <w:r>
        <w:t xml:space="preserve">, oprac. M. Rusinek, Wrocław 1955, s. 99–109. </w:t>
      </w:r>
    </w:p>
    <w:p w14:paraId="559DC413" w14:textId="77777777" w:rsidR="003E0C51" w:rsidRDefault="003E0C51" w:rsidP="003E0C51">
      <w:pPr>
        <w:pStyle w:val="pa0"/>
      </w:pPr>
      <w:r>
        <w:t xml:space="preserve">M. Campbell, </w:t>
      </w:r>
      <w:r>
        <w:rPr>
          <w:i/>
          <w:iCs/>
        </w:rPr>
        <w:t xml:space="preserve">Three Notes on </w:t>
      </w:r>
      <w:proofErr w:type="spellStart"/>
      <w:r>
        <w:rPr>
          <w:i/>
          <w:iCs/>
        </w:rPr>
        <w:t>Alexandrine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Poetry</w:t>
      </w:r>
      <w:proofErr w:type="spellEnd"/>
      <w:r>
        <w:t xml:space="preserve">, Hermes 102, 1974, s. 38–46. </w:t>
      </w:r>
    </w:p>
    <w:p w14:paraId="2077E7A5" w14:textId="77777777" w:rsidR="003E0C51" w:rsidRDefault="003E0C51" w:rsidP="003E0C51">
      <w:pPr>
        <w:pStyle w:val="pa0"/>
      </w:pPr>
      <w:r>
        <w:t xml:space="preserve">Nazwę wydawnictwa można pominąć w przypadku książek wydanych ponad 50 lat temu. Należy unikać skrótów „n.”, „nn.”, precyzyjnie określając przedział stron lub wersów. Odnośniki do już zacytowanych wcześniej publikacji powinny mieć następującą postać: Campbell, op. cit., s. 42. Zamiast „op. cit.” należy podać skrócony tytuł, jeśli pojawiły się wcześniej odnośniki do więcej niż jednej pracy tego samego autora. Na końcu artykułu należy dołączyć bibliografię, wyliczającą wszystkie prace przywołane w przypisach. </w:t>
      </w:r>
    </w:p>
    <w:p w14:paraId="32FE5725" w14:textId="77777777" w:rsidR="003E0C51" w:rsidRDefault="003E0C51" w:rsidP="003E0C51">
      <w:pPr>
        <w:pStyle w:val="pa0"/>
      </w:pPr>
      <w:r>
        <w:t xml:space="preserve">4. Odnośniki do autorów starożytnych powinny być podane w rozsądnie skróconej formie, w sposób ogólnie przyjęty: </w:t>
      </w:r>
    </w:p>
    <w:p w14:paraId="6261F4BD" w14:textId="77777777" w:rsidR="003E0C51" w:rsidRDefault="003E0C51" w:rsidP="003E0C51">
      <w:pPr>
        <w:pStyle w:val="pa0"/>
      </w:pPr>
      <w:proofErr w:type="spellStart"/>
      <w:r>
        <w:t>Hom</w:t>
      </w:r>
      <w:proofErr w:type="spellEnd"/>
      <w:r>
        <w:t xml:space="preserve">. </w:t>
      </w:r>
      <w:r>
        <w:rPr>
          <w:i/>
          <w:iCs/>
        </w:rPr>
        <w:t>Il.</w:t>
      </w:r>
      <w:r>
        <w:t xml:space="preserve"> I 1; Pind., fr. 58 </w:t>
      </w:r>
      <w:proofErr w:type="spellStart"/>
      <w:r>
        <w:t>Snell-Maehler</w:t>
      </w:r>
      <w:proofErr w:type="spellEnd"/>
      <w:r>
        <w:t xml:space="preserve">; </w:t>
      </w:r>
      <w:proofErr w:type="spellStart"/>
      <w:r>
        <w:t>Soph</w:t>
      </w:r>
      <w:proofErr w:type="spellEnd"/>
      <w:r>
        <w:t xml:space="preserve">. </w:t>
      </w:r>
      <w:proofErr w:type="spellStart"/>
      <w:r>
        <w:rPr>
          <w:i/>
          <w:iCs/>
        </w:rPr>
        <w:t>Oed</w:t>
      </w:r>
      <w:proofErr w:type="spellEnd"/>
      <w:r>
        <w:rPr>
          <w:i/>
          <w:iCs/>
        </w:rPr>
        <w:t>. Col.</w:t>
      </w:r>
      <w:r>
        <w:t xml:space="preserve"> 103; Pl. </w:t>
      </w:r>
      <w:r>
        <w:rPr>
          <w:i/>
          <w:iCs/>
        </w:rPr>
        <w:t xml:space="preserve">Men. </w:t>
      </w:r>
      <w:r>
        <w:t xml:space="preserve">70 b – 73 c; </w:t>
      </w:r>
      <w:proofErr w:type="spellStart"/>
      <w:r>
        <w:t>Aristot</w:t>
      </w:r>
      <w:proofErr w:type="spellEnd"/>
      <w:r>
        <w:t xml:space="preserve">. </w:t>
      </w:r>
      <w:proofErr w:type="spellStart"/>
      <w:r>
        <w:rPr>
          <w:i/>
          <w:iCs/>
        </w:rPr>
        <w:t>Metaph</w:t>
      </w:r>
      <w:proofErr w:type="spellEnd"/>
      <w:r>
        <w:rPr>
          <w:i/>
          <w:iCs/>
        </w:rPr>
        <w:t>.</w:t>
      </w:r>
      <w:r>
        <w:t xml:space="preserve"> IV 1007 a 21–26; </w:t>
      </w:r>
      <w:proofErr w:type="spellStart"/>
      <w:r>
        <w:t>Cic</w:t>
      </w:r>
      <w:proofErr w:type="spellEnd"/>
      <w:r>
        <w:t>.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or</w:t>
      </w:r>
      <w:proofErr w:type="spellEnd"/>
      <w:r>
        <w:rPr>
          <w:i/>
          <w:iCs/>
        </w:rPr>
        <w:t>.</w:t>
      </w:r>
      <w:r>
        <w:t xml:space="preserve"> III 93–95; </w:t>
      </w:r>
      <w:proofErr w:type="spellStart"/>
      <w:r>
        <w:t>Quint</w:t>
      </w:r>
      <w:proofErr w:type="spellEnd"/>
      <w:r>
        <w:t xml:space="preserve">. </w:t>
      </w:r>
      <w:r>
        <w:rPr>
          <w:i/>
          <w:iCs/>
        </w:rPr>
        <w:t>Inst.</w:t>
      </w:r>
      <w:r>
        <w:t xml:space="preserve"> VIII 6, 44. </w:t>
      </w:r>
    </w:p>
    <w:p w14:paraId="43B38A56" w14:textId="77777777" w:rsidR="00B51322" w:rsidRDefault="00B51322"/>
    <w:sectPr w:rsidR="00B5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51"/>
    <w:rsid w:val="003E0C51"/>
    <w:rsid w:val="00B51322"/>
    <w:rsid w:val="00C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D61FC"/>
  <w15:chartTrackingRefBased/>
  <w15:docId w15:val="{4241EC13-998E-7A4B-BDEF-0E7AFA0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rsid w:val="003E0C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pan.pl/meand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Teleżyńska</dc:creator>
  <cp:keywords/>
  <dc:description/>
  <cp:lastModifiedBy>Hela Teleżyńska</cp:lastModifiedBy>
  <cp:revision>1</cp:revision>
  <dcterms:created xsi:type="dcterms:W3CDTF">2023-05-06T14:47:00Z</dcterms:created>
  <dcterms:modified xsi:type="dcterms:W3CDTF">2023-05-06T15:27:00Z</dcterms:modified>
</cp:coreProperties>
</file>